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Týmto ako dotknutá osoba žiadam prevádzkovateľa</w:t>
      </w:r>
      <w:r>
        <w:rPr>
          <w:rFonts w:eastAsia="Times New Roman" w:cs="Times New Roman" w:ascii="Arial CE" w:hAnsi="Arial CE"/>
          <w:b w:val="false"/>
          <w:bCs w:val="false"/>
          <w:sz w:val="20"/>
          <w:szCs w:val="20"/>
          <w:shd w:fill="FFFFFF" w:val="clear"/>
          <w:lang w:eastAsia="sk-SK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BYTEX RV, s.r.o.   , so sídlom Betliarska 4, Rožňava 048 01   , IČO: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>36 169 668, zapísane v OR Okresného súdu Košice I,  8975/V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0505" cy="192405"/>
                <wp:effectExtent l="0" t="0" r="19050" b="1905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8.05pt;height:15.05pt" wp14:anchorId="6D4E32E9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0505" cy="192405"/>
                <wp:effectExtent l="0" t="0" r="19050" b="1905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8.05pt;height:15.05pt" wp14:anchorId="17DE8B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2</Pages>
  <Words>296</Words>
  <Characters>1961</Characters>
  <CharactersWithSpaces>2246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2018-09-21T12:47:07Z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